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9A16A2" w:rsidTr="00CC3FCA">
        <w:tc>
          <w:tcPr>
            <w:tcW w:w="8755" w:type="dxa"/>
            <w:tcBorders>
              <w:bottom w:val="single" w:sz="12" w:space="0" w:color="auto"/>
            </w:tcBorders>
          </w:tcPr>
          <w:p w:rsidR="009A16A2" w:rsidRPr="009A16A2" w:rsidRDefault="009A16A2" w:rsidP="00CC3FCA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</w:tr>
      <w:tr w:rsidR="009A16A2" w:rsidTr="00CC3FCA">
        <w:trPr>
          <w:trHeight w:val="567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A16A2" w:rsidRPr="001E759C" w:rsidRDefault="00323E24" w:rsidP="0033117D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Application</w:t>
            </w:r>
            <w:r w:rsidR="00C4161A">
              <w:rPr>
                <w:rFonts w:ascii="Arial" w:hAnsi="Arial" w:cs="Arial"/>
                <w:b/>
                <w:bCs/>
                <w:lang w:val="en-US"/>
              </w:rPr>
              <w:t xml:space="preserve"> of m</w:t>
            </w:r>
            <w:r w:rsidR="005159BB" w:rsidRPr="005159BB">
              <w:rPr>
                <w:rFonts w:ascii="Arial" w:hAnsi="Arial" w:cs="Arial"/>
                <w:b/>
                <w:bCs/>
                <w:lang w:val="en-US"/>
              </w:rPr>
              <w:t xml:space="preserve">obile eye-tracking </w:t>
            </w:r>
            <w:r w:rsidR="00C4161A">
              <w:rPr>
                <w:rFonts w:ascii="Arial" w:hAnsi="Arial" w:cs="Arial"/>
                <w:b/>
                <w:bCs/>
                <w:lang w:val="en-US"/>
              </w:rPr>
              <w:t>for better understanding a</w:t>
            </w:r>
            <w:r w:rsidR="005159BB">
              <w:rPr>
                <w:rFonts w:ascii="Arial" w:hAnsi="Arial" w:cs="Arial"/>
                <w:b/>
                <w:bCs/>
                <w:lang w:val="en-US"/>
              </w:rPr>
              <w:t xml:space="preserve"> projective mapping </w:t>
            </w:r>
            <w:r w:rsidR="001E7B9E">
              <w:rPr>
                <w:rFonts w:ascii="Arial" w:hAnsi="Arial" w:cs="Arial"/>
                <w:b/>
                <w:bCs/>
                <w:lang w:val="en-US"/>
              </w:rPr>
              <w:t>task</w:t>
            </w:r>
            <w:bookmarkStart w:id="0" w:name="_GoBack"/>
            <w:bookmarkEnd w:id="0"/>
          </w:p>
        </w:tc>
      </w:tr>
      <w:tr w:rsidR="0028306B" w:rsidRPr="0028306B" w:rsidTr="00CC3FCA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:rsidR="0028306B" w:rsidRPr="0028306B" w:rsidRDefault="0028306B">
            <w:pPr>
              <w:rPr>
                <w:b/>
                <w:bCs/>
              </w:rPr>
            </w:pPr>
          </w:p>
          <w:p w:rsidR="0028306B" w:rsidRPr="0028306B" w:rsidRDefault="0028306B" w:rsidP="0028306B">
            <w:pPr>
              <w:rPr>
                <w:b/>
                <w:bCs/>
              </w:rPr>
            </w:pPr>
            <w:r w:rsidRPr="0028306B">
              <w:rPr>
                <w:b/>
                <w:bCs/>
              </w:rPr>
              <w:t>Authors &amp; affiliations:</w:t>
            </w:r>
          </w:p>
        </w:tc>
      </w:tr>
      <w:tr w:rsidR="0028306B" w:rsidRPr="001E7B9E" w:rsidTr="00CC3FCA">
        <w:trPr>
          <w:trHeight w:val="76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159BB" w:rsidRPr="005159BB" w:rsidRDefault="005159BB" w:rsidP="005159BB">
            <w:pPr>
              <w:jc w:val="center"/>
              <w:rPr>
                <w:i/>
              </w:rPr>
            </w:pPr>
            <w:r w:rsidRPr="005159BB">
              <w:rPr>
                <w:i/>
              </w:rPr>
              <w:t>Paula Varela</w:t>
            </w:r>
            <w:r w:rsidR="0033117D">
              <w:rPr>
                <w:i/>
                <w:vertAlign w:val="superscript"/>
              </w:rPr>
              <w:t>1,2</w:t>
            </w:r>
            <w:r w:rsidRPr="005159BB">
              <w:rPr>
                <w:i/>
              </w:rPr>
              <w:t xml:space="preserve">, </w:t>
            </w:r>
            <w:proofErr w:type="spellStart"/>
            <w:r w:rsidRPr="005159BB">
              <w:rPr>
                <w:i/>
              </w:rPr>
              <w:t>Lucía</w:t>
            </w:r>
            <w:proofErr w:type="spellEnd"/>
            <w:r w:rsidRPr="005159BB">
              <w:rPr>
                <w:i/>
              </w:rPr>
              <w:t xml:space="preserve"> Antúnez</w:t>
            </w:r>
            <w:r w:rsidRPr="005159BB">
              <w:rPr>
                <w:i/>
                <w:vertAlign w:val="superscript"/>
              </w:rPr>
              <w:t>3</w:t>
            </w:r>
            <w:r w:rsidRPr="005159BB">
              <w:rPr>
                <w:i/>
              </w:rPr>
              <w:t>, Rafael Silva Cadena</w:t>
            </w:r>
            <w:r w:rsidRPr="005159BB">
              <w:rPr>
                <w:i/>
                <w:vertAlign w:val="superscript"/>
              </w:rPr>
              <w:t>3</w:t>
            </w:r>
            <w:r w:rsidRPr="005159BB">
              <w:rPr>
                <w:i/>
              </w:rPr>
              <w:t>, Ana Giménez</w:t>
            </w:r>
            <w:r w:rsidRPr="005159BB">
              <w:rPr>
                <w:i/>
                <w:vertAlign w:val="superscript"/>
              </w:rPr>
              <w:t>3,4</w:t>
            </w:r>
            <w:r w:rsidRPr="005159BB">
              <w:rPr>
                <w:i/>
              </w:rPr>
              <w:t>, Gastón Ares</w:t>
            </w:r>
            <w:r w:rsidRPr="005159BB">
              <w:rPr>
                <w:i/>
                <w:vertAlign w:val="superscript"/>
              </w:rPr>
              <w:t>3,4</w:t>
            </w:r>
          </w:p>
          <w:p w:rsidR="005159BB" w:rsidRPr="005159BB" w:rsidRDefault="005159BB" w:rsidP="005159BB">
            <w:pPr>
              <w:jc w:val="center"/>
              <w:rPr>
                <w:i/>
              </w:rPr>
            </w:pPr>
          </w:p>
          <w:p w:rsidR="005159BB" w:rsidRPr="005159BB" w:rsidRDefault="005159BB" w:rsidP="005159BB">
            <w:pPr>
              <w:jc w:val="center"/>
              <w:rPr>
                <w:i/>
              </w:rPr>
            </w:pPr>
            <w:r w:rsidRPr="005159BB">
              <w:rPr>
                <w:i/>
                <w:vertAlign w:val="superscript"/>
              </w:rPr>
              <w:t xml:space="preserve">1 </w:t>
            </w:r>
            <w:proofErr w:type="spellStart"/>
            <w:r w:rsidRPr="005159BB">
              <w:rPr>
                <w:i/>
              </w:rPr>
              <w:t>Nofima</w:t>
            </w:r>
            <w:proofErr w:type="spellEnd"/>
            <w:r w:rsidRPr="005159BB">
              <w:rPr>
                <w:i/>
              </w:rPr>
              <w:t xml:space="preserve"> AS, P.O. Box 210, 1431 Ås, Norway</w:t>
            </w:r>
          </w:p>
          <w:p w:rsidR="005159BB" w:rsidRPr="005159BB" w:rsidRDefault="005159BB" w:rsidP="005159BB">
            <w:pPr>
              <w:jc w:val="center"/>
              <w:rPr>
                <w:i/>
              </w:rPr>
            </w:pPr>
            <w:r w:rsidRPr="005159BB">
              <w:rPr>
                <w:i/>
                <w:vertAlign w:val="superscript"/>
              </w:rPr>
              <w:t>2</w:t>
            </w:r>
            <w:r w:rsidRPr="005159BB">
              <w:rPr>
                <w:i/>
              </w:rPr>
              <w:t xml:space="preserve"> </w:t>
            </w:r>
            <w:r>
              <w:rPr>
                <w:i/>
              </w:rPr>
              <w:t xml:space="preserve">Former </w:t>
            </w:r>
            <w:proofErr w:type="gramStart"/>
            <w:r>
              <w:rPr>
                <w:i/>
              </w:rPr>
              <w:t>affiliation</w:t>
            </w:r>
            <w:proofErr w:type="gramEnd"/>
            <w:r>
              <w:rPr>
                <w:i/>
              </w:rPr>
              <w:t xml:space="preserve">: </w:t>
            </w:r>
            <w:proofErr w:type="spellStart"/>
            <w:r w:rsidRPr="005159BB">
              <w:rPr>
                <w:i/>
              </w:rPr>
              <w:t>Instituto</w:t>
            </w:r>
            <w:proofErr w:type="spellEnd"/>
            <w:r w:rsidRPr="005159BB">
              <w:rPr>
                <w:i/>
              </w:rPr>
              <w:t xml:space="preserve"> de </w:t>
            </w:r>
            <w:proofErr w:type="spellStart"/>
            <w:r w:rsidRPr="005159BB">
              <w:rPr>
                <w:i/>
              </w:rPr>
              <w:t>Agroquímica</w:t>
            </w:r>
            <w:proofErr w:type="spellEnd"/>
            <w:r w:rsidRPr="005159BB">
              <w:rPr>
                <w:i/>
              </w:rPr>
              <w:t xml:space="preserve"> y </w:t>
            </w:r>
            <w:proofErr w:type="spellStart"/>
            <w:r w:rsidRPr="005159BB">
              <w:rPr>
                <w:i/>
              </w:rPr>
              <w:t>Tecnología</w:t>
            </w:r>
            <w:proofErr w:type="spellEnd"/>
            <w:r w:rsidRPr="005159BB">
              <w:rPr>
                <w:i/>
              </w:rPr>
              <w:t xml:space="preserve"> de </w:t>
            </w:r>
            <w:proofErr w:type="spellStart"/>
            <w:r w:rsidRPr="005159BB">
              <w:rPr>
                <w:i/>
              </w:rPr>
              <w:t>Alimentos</w:t>
            </w:r>
            <w:proofErr w:type="spellEnd"/>
            <w:r w:rsidRPr="005159BB">
              <w:rPr>
                <w:i/>
              </w:rPr>
              <w:t xml:space="preserve"> (CSIC), </w:t>
            </w:r>
            <w:proofErr w:type="spellStart"/>
            <w:r w:rsidRPr="005159BB">
              <w:rPr>
                <w:i/>
              </w:rPr>
              <w:t>Agustín</w:t>
            </w:r>
            <w:proofErr w:type="spellEnd"/>
            <w:r w:rsidRPr="005159BB">
              <w:rPr>
                <w:i/>
              </w:rPr>
              <w:t xml:space="preserve"> </w:t>
            </w:r>
            <w:proofErr w:type="spellStart"/>
            <w:r w:rsidRPr="005159BB">
              <w:rPr>
                <w:i/>
              </w:rPr>
              <w:t>Escardino</w:t>
            </w:r>
            <w:proofErr w:type="spellEnd"/>
            <w:r w:rsidRPr="005159BB">
              <w:rPr>
                <w:i/>
              </w:rPr>
              <w:t xml:space="preserve">, 7, 46980 </w:t>
            </w:r>
            <w:proofErr w:type="spellStart"/>
            <w:r w:rsidRPr="005159BB">
              <w:rPr>
                <w:i/>
              </w:rPr>
              <w:t>Paterna</w:t>
            </w:r>
            <w:proofErr w:type="spellEnd"/>
            <w:r w:rsidRPr="005159BB">
              <w:rPr>
                <w:i/>
              </w:rPr>
              <w:t>, Valencia, Spain.</w:t>
            </w:r>
          </w:p>
          <w:p w:rsidR="005159BB" w:rsidRPr="0033117D" w:rsidRDefault="00B231B6" w:rsidP="005159BB">
            <w:pPr>
              <w:jc w:val="center"/>
              <w:rPr>
                <w:i/>
                <w:lang w:val="es-UY"/>
              </w:rPr>
            </w:pPr>
            <w:r w:rsidRPr="0033117D">
              <w:rPr>
                <w:i/>
                <w:vertAlign w:val="superscript"/>
                <w:lang w:val="es-UY"/>
              </w:rPr>
              <w:t xml:space="preserve">3 </w:t>
            </w:r>
            <w:r w:rsidRPr="0033117D">
              <w:rPr>
                <w:i/>
                <w:lang w:val="es-UY"/>
              </w:rPr>
              <w:t>Departamento de Ciencia y Tecnología de Alimentos. Facultad de Química. Universidad de la República. Gral. Flores 2124. CP 11800. Montevideo, Uruguay.</w:t>
            </w:r>
          </w:p>
          <w:p w:rsidR="00D015AE" w:rsidRPr="00D015AE" w:rsidRDefault="00B231B6" w:rsidP="005159BB">
            <w:pPr>
              <w:jc w:val="center"/>
              <w:rPr>
                <w:i/>
                <w:lang w:val="es-UY"/>
              </w:rPr>
            </w:pPr>
            <w:r w:rsidRPr="0033117D">
              <w:rPr>
                <w:i/>
                <w:vertAlign w:val="superscript"/>
                <w:lang w:val="es-UY"/>
              </w:rPr>
              <w:t>4</w:t>
            </w:r>
            <w:r w:rsidRPr="0033117D">
              <w:rPr>
                <w:i/>
                <w:lang w:val="es-UY"/>
              </w:rPr>
              <w:t xml:space="preserve"> Centro de Investigación Básica en Psicología. Facultad de Psicología. Universidad de la República. </w:t>
            </w:r>
            <w:r w:rsidR="005159BB" w:rsidRPr="0033117D">
              <w:rPr>
                <w:i/>
                <w:lang w:val="es-UY"/>
              </w:rPr>
              <w:t xml:space="preserve">Tristán </w:t>
            </w:r>
            <w:proofErr w:type="spellStart"/>
            <w:r w:rsidR="005159BB" w:rsidRPr="0033117D">
              <w:rPr>
                <w:i/>
                <w:lang w:val="es-UY"/>
              </w:rPr>
              <w:t>Narvaja</w:t>
            </w:r>
            <w:proofErr w:type="spellEnd"/>
            <w:r w:rsidR="005159BB" w:rsidRPr="0033117D">
              <w:rPr>
                <w:i/>
                <w:lang w:val="es-UY"/>
              </w:rPr>
              <w:t xml:space="preserve"> 1674. CP 11200. Montevideo, Uruguay.</w:t>
            </w:r>
          </w:p>
        </w:tc>
      </w:tr>
      <w:tr w:rsidR="009A16A2" w:rsidTr="00CC3FCA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:rsidR="009A16A2" w:rsidRPr="00C16C1B" w:rsidRDefault="009A16A2">
            <w:pPr>
              <w:rPr>
                <w:b/>
                <w:bCs/>
                <w:lang w:val="es-UY"/>
                <w:rPrChange w:id="1" w:author="Paula A. Varela Tomasco" w:date="2014-03-28T15:12:00Z">
                  <w:rPr>
                    <w:b/>
                    <w:bCs/>
                    <w:lang w:val="en-US"/>
                  </w:rPr>
                </w:rPrChange>
              </w:rPr>
            </w:pPr>
          </w:p>
          <w:p w:rsidR="009A16A2" w:rsidRDefault="009A16A2">
            <w:r>
              <w:rPr>
                <w:b/>
                <w:bCs/>
              </w:rPr>
              <w:t xml:space="preserve">Abstract:  </w:t>
            </w:r>
            <w:r w:rsidRPr="009A16A2">
              <w:rPr>
                <w:sz w:val="16"/>
              </w:rPr>
              <w:t>(</w:t>
            </w:r>
            <w:r w:rsidR="00BE2129" w:rsidRPr="00BE2129">
              <w:rPr>
                <w:sz w:val="16"/>
              </w:rPr>
              <w:t xml:space="preserve">Your abstract must use </w:t>
            </w:r>
            <w:r w:rsidR="00BE2129" w:rsidRPr="00BE2129">
              <w:rPr>
                <w:b/>
                <w:sz w:val="16"/>
              </w:rPr>
              <w:t>Normal style</w:t>
            </w:r>
            <w:r w:rsidR="00BE2129" w:rsidRPr="00BE2129">
              <w:rPr>
                <w:sz w:val="16"/>
              </w:rPr>
              <w:t xml:space="preserve"> and must fit in this </w:t>
            </w:r>
            <w:r w:rsidR="00BE2129">
              <w:rPr>
                <w:sz w:val="16"/>
              </w:rPr>
              <w:t>box</w:t>
            </w:r>
            <w:r w:rsidR="00BE2129" w:rsidRPr="00BE2129">
              <w:rPr>
                <w:sz w:val="16"/>
              </w:rPr>
              <w:t>.  Your abstract should be no longer than 300 words. Th</w:t>
            </w:r>
            <w:r w:rsidR="00BE2129">
              <w:rPr>
                <w:sz w:val="16"/>
              </w:rPr>
              <w:t>e box</w:t>
            </w:r>
            <w:r w:rsidR="00BE2129" w:rsidRPr="00BE2129">
              <w:rPr>
                <w:sz w:val="16"/>
              </w:rPr>
              <w:t xml:space="preserve"> will ‘expand’ over 2 pages as you add text/diagrams into it.</w:t>
            </w:r>
            <w:r w:rsidRPr="009A16A2">
              <w:rPr>
                <w:sz w:val="16"/>
              </w:rPr>
              <w:t>)</w:t>
            </w:r>
          </w:p>
        </w:tc>
      </w:tr>
      <w:tr w:rsidR="009A16A2" w:rsidTr="00CC3FCA">
        <w:trPr>
          <w:trHeight w:val="7371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96C29" w:rsidRDefault="000D6086" w:rsidP="0033117D">
            <w:pPr>
              <w:ind w:right="34"/>
              <w:jc w:val="both"/>
              <w:rPr>
                <w:lang w:val="en-US"/>
              </w:rPr>
            </w:pPr>
            <w:r w:rsidRPr="000D6086">
              <w:rPr>
                <w:lang w:val="en-US"/>
              </w:rPr>
              <w:t>An increasing amount of informa</w:t>
            </w:r>
            <w:r w:rsidR="005159BB">
              <w:rPr>
                <w:lang w:val="en-US"/>
              </w:rPr>
              <w:t>tion is included on food pack</w:t>
            </w:r>
            <w:r w:rsidRPr="000D6086">
              <w:rPr>
                <w:lang w:val="en-US"/>
              </w:rPr>
              <w:t>s to differentiate products in the marketplace. However, in the few seconds consumers spend evaluating produ</w:t>
            </w:r>
            <w:r w:rsidR="005159BB">
              <w:rPr>
                <w:lang w:val="en-US"/>
              </w:rPr>
              <w:t>cts when making their purchases</w:t>
            </w:r>
            <w:r w:rsidRPr="000D6086">
              <w:rPr>
                <w:lang w:val="en-US"/>
              </w:rPr>
              <w:t xml:space="preserve"> they </w:t>
            </w:r>
            <w:r w:rsidR="005159BB">
              <w:rPr>
                <w:lang w:val="en-US"/>
              </w:rPr>
              <w:t>do not</w:t>
            </w:r>
            <w:r w:rsidRPr="000D6086">
              <w:rPr>
                <w:lang w:val="en-US"/>
              </w:rPr>
              <w:t xml:space="preserve"> attend to all the available information. </w:t>
            </w:r>
            <w:r w:rsidR="007D7807">
              <w:rPr>
                <w:lang w:val="en-US"/>
              </w:rPr>
              <w:t>In this context</w:t>
            </w:r>
            <w:r w:rsidRPr="000D6086">
              <w:rPr>
                <w:lang w:val="en-US"/>
              </w:rPr>
              <w:t xml:space="preserve">, attentional capture of package features </w:t>
            </w:r>
            <w:r w:rsidR="00AB7164">
              <w:rPr>
                <w:lang w:val="en-US"/>
              </w:rPr>
              <w:t>could be</w:t>
            </w:r>
            <w:r w:rsidRPr="000D6086">
              <w:rPr>
                <w:lang w:val="en-US"/>
              </w:rPr>
              <w:t xml:space="preserve"> vital to </w:t>
            </w:r>
            <w:r w:rsidR="007D7807">
              <w:rPr>
                <w:lang w:val="en-US"/>
              </w:rPr>
              <w:t xml:space="preserve">better understand what consumers actually focus on when choosing and to </w:t>
            </w:r>
            <w:r w:rsidR="005159BB">
              <w:rPr>
                <w:lang w:val="en-US"/>
              </w:rPr>
              <w:t>ensure</w:t>
            </w:r>
            <w:r w:rsidRPr="000D6086">
              <w:rPr>
                <w:lang w:val="en-US"/>
              </w:rPr>
              <w:t xml:space="preserve"> that </w:t>
            </w:r>
            <w:r w:rsidR="00AB7164">
              <w:rPr>
                <w:lang w:val="en-US"/>
              </w:rPr>
              <w:t xml:space="preserve">the </w:t>
            </w:r>
            <w:r w:rsidRPr="000D6086">
              <w:rPr>
                <w:lang w:val="en-US"/>
              </w:rPr>
              <w:t xml:space="preserve">communication goals are being successfully conveyed. </w:t>
            </w:r>
          </w:p>
          <w:p w:rsidR="00696C29" w:rsidRDefault="00696C29" w:rsidP="0033117D">
            <w:pPr>
              <w:ind w:right="34"/>
              <w:jc w:val="both"/>
              <w:rPr>
                <w:lang w:val="en-US"/>
              </w:rPr>
            </w:pPr>
          </w:p>
          <w:p w:rsidR="00696C29" w:rsidRDefault="000D6086" w:rsidP="0033117D">
            <w:pPr>
              <w:ind w:right="34"/>
              <w:jc w:val="both"/>
              <w:rPr>
                <w:lang w:val="en-US"/>
              </w:rPr>
            </w:pPr>
            <w:r w:rsidRPr="000D6086">
              <w:rPr>
                <w:lang w:val="en-US"/>
              </w:rPr>
              <w:t xml:space="preserve">The objective of the present work was to </w:t>
            </w:r>
            <w:r w:rsidR="007D7807">
              <w:rPr>
                <w:lang w:val="en-US"/>
              </w:rPr>
              <w:t>study</w:t>
            </w:r>
            <w:r w:rsidRPr="000D6086">
              <w:rPr>
                <w:lang w:val="en-US"/>
              </w:rPr>
              <w:t xml:space="preserve"> consumers' </w:t>
            </w:r>
            <w:r w:rsidR="00AB7164">
              <w:rPr>
                <w:lang w:val="en-US"/>
              </w:rPr>
              <w:t>perception of food pack</w:t>
            </w:r>
            <w:r w:rsidR="00E86158">
              <w:rPr>
                <w:lang w:val="en-US"/>
              </w:rPr>
              <w:t>ages</w:t>
            </w:r>
            <w:r w:rsidRPr="000D6086">
              <w:rPr>
                <w:lang w:val="en-US"/>
              </w:rPr>
              <w:t xml:space="preserve"> </w:t>
            </w:r>
            <w:r w:rsidR="007D7807">
              <w:rPr>
                <w:lang w:val="en-US"/>
              </w:rPr>
              <w:t>by means of</w:t>
            </w:r>
            <w:r w:rsidRPr="000D6086">
              <w:rPr>
                <w:lang w:val="en-US"/>
              </w:rPr>
              <w:t xml:space="preserve"> a combination of projective mapping and a mobile eye-tracker</w:t>
            </w:r>
            <w:r w:rsidR="007D7807">
              <w:rPr>
                <w:lang w:val="en-US"/>
              </w:rPr>
              <w:t xml:space="preserve"> tool</w:t>
            </w:r>
            <w:r w:rsidRPr="000D6086">
              <w:rPr>
                <w:lang w:val="en-US"/>
              </w:rPr>
              <w:t xml:space="preserve">, </w:t>
            </w:r>
            <w:r w:rsidR="007D7807">
              <w:rPr>
                <w:lang w:val="en-US"/>
              </w:rPr>
              <w:t>using</w:t>
            </w:r>
            <w:r w:rsidRPr="000D6086">
              <w:rPr>
                <w:lang w:val="en-US"/>
              </w:rPr>
              <w:t xml:space="preserve"> breakfast cereal</w:t>
            </w:r>
            <w:r w:rsidR="0033117D">
              <w:rPr>
                <w:lang w:val="en-US"/>
              </w:rPr>
              <w:t>s</w:t>
            </w:r>
            <w:r w:rsidRPr="000D6086">
              <w:rPr>
                <w:lang w:val="en-US"/>
              </w:rPr>
              <w:t xml:space="preserve"> as case study. </w:t>
            </w:r>
          </w:p>
          <w:p w:rsidR="00696C29" w:rsidRDefault="00696C29" w:rsidP="0033117D">
            <w:pPr>
              <w:ind w:right="34"/>
              <w:jc w:val="both"/>
              <w:rPr>
                <w:lang w:val="en-US"/>
              </w:rPr>
            </w:pPr>
          </w:p>
          <w:p w:rsidR="00696C29" w:rsidRDefault="000D6086" w:rsidP="0033117D">
            <w:pPr>
              <w:ind w:right="34"/>
              <w:jc w:val="both"/>
              <w:rPr>
                <w:lang w:val="en-US"/>
              </w:rPr>
            </w:pPr>
            <w:r w:rsidRPr="000D6086">
              <w:rPr>
                <w:lang w:val="en-US"/>
              </w:rPr>
              <w:t>Fifty consumers performed a projective mapping task</w:t>
            </w:r>
            <w:r w:rsidR="00AB7164">
              <w:rPr>
                <w:lang w:val="en-US"/>
              </w:rPr>
              <w:t xml:space="preserve">, </w:t>
            </w:r>
            <w:r w:rsidR="00E86158">
              <w:rPr>
                <w:lang w:val="en-US"/>
              </w:rPr>
              <w:t>followed by a description phase</w:t>
            </w:r>
            <w:r w:rsidR="007D7807">
              <w:rPr>
                <w:lang w:val="en-US"/>
              </w:rPr>
              <w:t>,</w:t>
            </w:r>
            <w:r w:rsidRPr="000D6086">
              <w:rPr>
                <w:lang w:val="en-US"/>
              </w:rPr>
              <w:t xml:space="preserve"> with ten breakfast cereal packages</w:t>
            </w:r>
            <w:r w:rsidR="0033117D">
              <w:rPr>
                <w:lang w:val="en-US"/>
              </w:rPr>
              <w:t>,</w:t>
            </w:r>
            <w:r w:rsidRPr="000D6086">
              <w:rPr>
                <w:lang w:val="en-US"/>
              </w:rPr>
              <w:t xml:space="preserve"> while </w:t>
            </w:r>
            <w:r w:rsidR="00AB7164">
              <w:rPr>
                <w:lang w:val="en-US"/>
              </w:rPr>
              <w:t>wearing</w:t>
            </w:r>
            <w:r w:rsidRPr="000D6086">
              <w:rPr>
                <w:lang w:val="en-US"/>
              </w:rPr>
              <w:t xml:space="preserve"> a mobile eye-tracker. The video recordings obtained with the eye-tracking were analyzed and the </w:t>
            </w:r>
            <w:r w:rsidR="00AB7164" w:rsidRPr="000D6086">
              <w:rPr>
                <w:lang w:val="en-US"/>
              </w:rPr>
              <w:t>occurrence of fixations within different areas of the packages was</w:t>
            </w:r>
            <w:r w:rsidRPr="000D6086">
              <w:rPr>
                <w:lang w:val="en-US"/>
              </w:rPr>
              <w:t xml:space="preserve"> counted. </w:t>
            </w:r>
            <w:r w:rsidR="00AB7164">
              <w:rPr>
                <w:lang w:val="en-US"/>
              </w:rPr>
              <w:t>These data were linked to the projective mapping positioning and to the generated descriptive terms.</w:t>
            </w:r>
          </w:p>
          <w:p w:rsidR="00696C29" w:rsidRDefault="00696C29" w:rsidP="0033117D">
            <w:pPr>
              <w:ind w:right="34"/>
              <w:jc w:val="both"/>
              <w:rPr>
                <w:lang w:val="en-US"/>
              </w:rPr>
            </w:pPr>
          </w:p>
          <w:p w:rsidR="00696C29" w:rsidRDefault="0033117D" w:rsidP="00C16C1B">
            <w:pPr>
              <w:ind w:right="34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Eye-tracking data </w:t>
            </w:r>
            <w:r w:rsidRPr="000D6086">
              <w:rPr>
                <w:lang w:val="en-US"/>
              </w:rPr>
              <w:t xml:space="preserve">provided information that enabled a more comprehensive </w:t>
            </w:r>
            <w:r>
              <w:rPr>
                <w:lang w:val="en-US"/>
              </w:rPr>
              <w:t>understanding</w:t>
            </w:r>
            <w:r w:rsidRPr="000D6086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the r</w:t>
            </w:r>
            <w:r w:rsidR="00BF2D2B">
              <w:rPr>
                <w:lang w:val="en-US"/>
              </w:rPr>
              <w:t>esults from projective mapping. They allowed</w:t>
            </w:r>
            <w:r w:rsidRPr="0033117D">
              <w:rPr>
                <w:lang w:val="en-US"/>
              </w:rPr>
              <w:t xml:space="preserve"> identifying </w:t>
            </w:r>
            <w:r w:rsidR="00BF64F8">
              <w:rPr>
                <w:lang w:val="en-US"/>
              </w:rPr>
              <w:t xml:space="preserve">the most relevant </w:t>
            </w:r>
            <w:r w:rsidR="00BF64F8" w:rsidRPr="0033117D">
              <w:rPr>
                <w:lang w:val="en-US"/>
              </w:rPr>
              <w:t xml:space="preserve">package features </w:t>
            </w:r>
            <w:r w:rsidR="00BF64F8">
              <w:rPr>
                <w:lang w:val="en-US"/>
              </w:rPr>
              <w:t xml:space="preserve">for the categorization, </w:t>
            </w:r>
            <w:r w:rsidR="00BF2D2B">
              <w:rPr>
                <w:lang w:val="en-US"/>
              </w:rPr>
              <w:t>as well as</w:t>
            </w:r>
            <w:r w:rsidR="00BF64F8">
              <w:rPr>
                <w:lang w:val="en-US"/>
              </w:rPr>
              <w:t xml:space="preserve"> </w:t>
            </w:r>
            <w:r w:rsidR="009F5330">
              <w:rPr>
                <w:lang w:val="en-US"/>
              </w:rPr>
              <w:t xml:space="preserve">some </w:t>
            </w:r>
            <w:r w:rsidRPr="0033117D">
              <w:rPr>
                <w:lang w:val="en-US"/>
              </w:rPr>
              <w:t xml:space="preserve">features that were attended to but </w:t>
            </w:r>
            <w:r w:rsidR="00BF2D2B">
              <w:rPr>
                <w:lang w:val="en-US"/>
              </w:rPr>
              <w:t xml:space="preserve">were </w:t>
            </w:r>
            <w:r w:rsidRPr="0033117D">
              <w:rPr>
                <w:lang w:val="en-US"/>
              </w:rPr>
              <w:t xml:space="preserve">not relevant and </w:t>
            </w:r>
            <w:r w:rsidR="00BF2D2B">
              <w:rPr>
                <w:lang w:val="en-US"/>
              </w:rPr>
              <w:t>characteristics that were</w:t>
            </w:r>
            <w:r w:rsidR="00BF2D2B" w:rsidRPr="0033117D">
              <w:rPr>
                <w:lang w:val="en-US"/>
              </w:rPr>
              <w:t xml:space="preserve"> </w:t>
            </w:r>
            <w:r w:rsidRPr="0033117D">
              <w:rPr>
                <w:lang w:val="en-US"/>
              </w:rPr>
              <w:t>used for the categorization but that seemed to be not largely processed</w:t>
            </w:r>
            <w:r>
              <w:rPr>
                <w:lang w:val="en-US"/>
              </w:rPr>
              <w:t xml:space="preserve">. </w:t>
            </w:r>
            <w:r w:rsidR="00323E24" w:rsidRPr="00323E24">
              <w:rPr>
                <w:lang w:val="en-US"/>
              </w:rPr>
              <w:t xml:space="preserve">Consumers mainly focused </w:t>
            </w:r>
            <w:r w:rsidR="00BF2D2B">
              <w:rPr>
                <w:lang w:val="en-US"/>
              </w:rPr>
              <w:t xml:space="preserve">their attention </w:t>
            </w:r>
            <w:r w:rsidR="00323E24" w:rsidRPr="00323E24">
              <w:rPr>
                <w:lang w:val="en-US"/>
              </w:rPr>
              <w:t>on the information displaye</w:t>
            </w:r>
            <w:r>
              <w:rPr>
                <w:lang w:val="en-US"/>
              </w:rPr>
              <w:t>d on the front of the packages</w:t>
            </w:r>
            <w:r w:rsidR="00BF2D2B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BF2D2B">
              <w:rPr>
                <w:lang w:val="en-US"/>
              </w:rPr>
              <w:t>H</w:t>
            </w:r>
            <w:r w:rsidR="00BF2D2B" w:rsidRPr="0033117D">
              <w:rPr>
                <w:lang w:val="en-US"/>
              </w:rPr>
              <w:t>owever</w:t>
            </w:r>
            <w:r w:rsidRPr="0033117D">
              <w:rPr>
                <w:lang w:val="en-US"/>
              </w:rPr>
              <w:t>, they did not visually process all the information in this area to the same extent</w:t>
            </w:r>
            <w:r w:rsidR="00BF2D2B">
              <w:rPr>
                <w:lang w:val="en-US"/>
              </w:rPr>
              <w:t>. P</w:t>
            </w:r>
            <w:r w:rsidR="00323E24" w:rsidRPr="00323E24">
              <w:rPr>
                <w:lang w:val="en-US"/>
              </w:rPr>
              <w:t xml:space="preserve">roduct name was the most relevant information that consumers attended to for categorization. </w:t>
            </w:r>
            <w:r w:rsidR="00323E24">
              <w:rPr>
                <w:lang w:val="en-US"/>
              </w:rPr>
              <w:t xml:space="preserve">Most of the information that was not relevant for consumers' categorization did not capture consumers' </w:t>
            </w:r>
            <w:r>
              <w:rPr>
                <w:lang w:val="en-US"/>
              </w:rPr>
              <w:t>attention; however</w:t>
            </w:r>
            <w:r w:rsidRPr="0033117D">
              <w:rPr>
                <w:lang w:val="en-US"/>
              </w:rPr>
              <w:t xml:space="preserve"> a large proportion</w:t>
            </w:r>
            <w:r w:rsidR="00BF2D2B">
              <w:rPr>
                <w:lang w:val="en-US"/>
              </w:rPr>
              <w:t xml:space="preserve"> of the consumers</w:t>
            </w:r>
            <w:r w:rsidRPr="0033117D">
              <w:rPr>
                <w:lang w:val="en-US"/>
              </w:rPr>
              <w:t xml:space="preserve"> fixated their gaze on brand information but did not use it to locate samples on the map or to describe products</w:t>
            </w:r>
            <w:r w:rsidR="00323E24">
              <w:rPr>
                <w:lang w:val="en-US"/>
              </w:rPr>
              <w:t xml:space="preserve">. Eye-tracking also </w:t>
            </w:r>
            <w:r w:rsidR="00AB7164">
              <w:rPr>
                <w:lang w:val="en-US"/>
              </w:rPr>
              <w:t>highlighted some practical aspects</w:t>
            </w:r>
            <w:r w:rsidR="00323E24">
              <w:rPr>
                <w:lang w:val="en-US"/>
              </w:rPr>
              <w:t xml:space="preserve"> that have not been previously</w:t>
            </w:r>
            <w:r w:rsidR="00AB7164">
              <w:rPr>
                <w:lang w:val="en-US"/>
              </w:rPr>
              <w:t xml:space="preserve"> considered </w:t>
            </w:r>
            <w:r w:rsidR="007D7807">
              <w:rPr>
                <w:lang w:val="en-US"/>
              </w:rPr>
              <w:t>on</w:t>
            </w:r>
            <w:r w:rsidR="00AB7164">
              <w:rPr>
                <w:lang w:val="en-US"/>
              </w:rPr>
              <w:t xml:space="preserve"> projective mapping studies, particularly from a cognitive perspective</w:t>
            </w:r>
            <w:r w:rsidR="00323E24">
              <w:rPr>
                <w:lang w:val="en-US"/>
              </w:rPr>
              <w:t>.</w:t>
            </w:r>
            <w:r w:rsidR="001E759C" w:rsidRPr="001E759C">
              <w:rPr>
                <w:lang w:val="en-US"/>
              </w:rPr>
              <w:t xml:space="preserve"> </w:t>
            </w:r>
          </w:p>
        </w:tc>
      </w:tr>
    </w:tbl>
    <w:p w:rsidR="00FE75A4" w:rsidRDefault="00FE75A4" w:rsidP="009A16A2"/>
    <w:p w:rsidR="00FA167B" w:rsidRDefault="00FA167B"/>
    <w:sectPr w:rsidR="00FA167B" w:rsidSect="00CC3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5F" w:rsidRDefault="005A725F">
      <w:r>
        <w:separator/>
      </w:r>
    </w:p>
  </w:endnote>
  <w:endnote w:type="continuationSeparator" w:id="0">
    <w:p w:rsidR="005A725F" w:rsidRDefault="005A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9" w:rsidRDefault="00727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9" w:rsidRDefault="007274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9" w:rsidRDefault="00727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5F" w:rsidRDefault="005A725F">
      <w:r>
        <w:separator/>
      </w:r>
    </w:p>
  </w:footnote>
  <w:footnote w:type="continuationSeparator" w:id="0">
    <w:p w:rsidR="005A725F" w:rsidRDefault="005A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9" w:rsidRDefault="00727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9" w:rsidRDefault="00727489" w:rsidP="00727489">
    <w:pPr>
      <w:ind w:left="-180" w:right="-180" w:firstLine="180"/>
      <w:rPr>
        <w:b/>
        <w:color w:val="FF0000"/>
      </w:rPr>
    </w:pPr>
    <w:r w:rsidRPr="00633DCF">
      <w:rPr>
        <w:b/>
        <w:color w:val="FF0000"/>
        <w:u w:val="single"/>
      </w:rPr>
      <w:t>Important notes</w:t>
    </w:r>
    <w:r>
      <w:rPr>
        <w:b/>
        <w:color w:val="FF0000"/>
      </w:rPr>
      <w:t>:</w:t>
    </w:r>
  </w:p>
  <w:p w:rsidR="00727489" w:rsidRPr="00633DCF" w:rsidRDefault="00727489" w:rsidP="00727489">
    <w:pPr>
      <w:rPr>
        <w:color w:val="FF0000"/>
      </w:rPr>
    </w:pPr>
  </w:p>
  <w:p w:rsidR="00727489" w:rsidRPr="00633DCF" w:rsidRDefault="00727489" w:rsidP="00727489">
    <w:pPr>
      <w:rPr>
        <w:color w:val="FF0000"/>
      </w:rPr>
    </w:pPr>
    <w:r w:rsidRPr="00633DCF">
      <w:rPr>
        <w:color w:val="FF0000"/>
      </w:rPr>
      <w:t xml:space="preserve">Do </w:t>
    </w:r>
    <w:r w:rsidRPr="00633DCF">
      <w:rPr>
        <w:b/>
        <w:color w:val="FF0000"/>
      </w:rPr>
      <w:t>NOT</w:t>
    </w:r>
    <w:r w:rsidRPr="00633DCF">
      <w:rPr>
        <w:color w:val="FF0000"/>
      </w:rPr>
      <w:t xml:space="preserve"> write outside the </w:t>
    </w:r>
    <w:r>
      <w:rPr>
        <w:color w:val="FF0000"/>
      </w:rPr>
      <w:t xml:space="preserve">grey </w:t>
    </w:r>
    <w:r w:rsidRPr="00633DCF">
      <w:rPr>
        <w:color w:val="FF0000"/>
      </w:rPr>
      <w:t xml:space="preserve">boxes. Any text or images outside the boxes </w:t>
    </w:r>
    <w:r w:rsidRPr="00633DCF">
      <w:rPr>
        <w:b/>
        <w:color w:val="FF0000"/>
        <w:u w:val="single"/>
      </w:rPr>
      <w:t>will</w:t>
    </w:r>
    <w:r w:rsidRPr="00633DCF">
      <w:rPr>
        <w:color w:val="FF0000"/>
      </w:rPr>
      <w:t xml:space="preserve"> be deleted.</w:t>
    </w:r>
  </w:p>
  <w:p w:rsidR="00727489" w:rsidRPr="00633DCF" w:rsidRDefault="00727489" w:rsidP="00727489">
    <w:pPr>
      <w:rPr>
        <w:color w:val="FF0000"/>
      </w:rPr>
    </w:pPr>
  </w:p>
  <w:p w:rsidR="00727489" w:rsidRDefault="00727489" w:rsidP="00727489">
    <w:pPr>
      <w:rPr>
        <w:color w:val="FF0000"/>
      </w:rPr>
    </w:pPr>
    <w:r w:rsidRPr="00633DCF">
      <w:rPr>
        <w:color w:val="FF0000"/>
      </w:rPr>
      <w:t xml:space="preserve">Do </w:t>
    </w:r>
    <w:r w:rsidRPr="00633DCF">
      <w:rPr>
        <w:b/>
        <w:color w:val="FF0000"/>
      </w:rPr>
      <w:t>NOT</w:t>
    </w:r>
    <w:r w:rsidRPr="00633DCF">
      <w:rPr>
        <w:color w:val="FF0000"/>
      </w:rPr>
      <w:t xml:space="preserve"> alter the structure of this </w:t>
    </w:r>
    <w:r>
      <w:rPr>
        <w:color w:val="FF0000"/>
      </w:rPr>
      <w:t>form</w:t>
    </w:r>
    <w:r w:rsidRPr="00633DCF">
      <w:rPr>
        <w:color w:val="FF0000"/>
      </w:rPr>
      <w:t xml:space="preserve">. Simply enter your </w:t>
    </w:r>
    <w:r>
      <w:rPr>
        <w:color w:val="FF0000"/>
      </w:rPr>
      <w:t xml:space="preserve">information </w:t>
    </w:r>
    <w:r w:rsidRPr="00633DCF">
      <w:rPr>
        <w:color w:val="FF0000"/>
      </w:rPr>
      <w:t>in</w:t>
    </w:r>
    <w:r>
      <w:rPr>
        <w:color w:val="FF0000"/>
      </w:rPr>
      <w:t>to</w:t>
    </w:r>
    <w:r w:rsidRPr="00633DCF">
      <w:rPr>
        <w:color w:val="FF0000"/>
      </w:rPr>
      <w:t xml:space="preserve"> the boxes. The </w:t>
    </w:r>
    <w:r>
      <w:rPr>
        <w:color w:val="FF0000"/>
      </w:rPr>
      <w:t>form</w:t>
    </w:r>
    <w:r w:rsidRPr="00633DCF">
      <w:rPr>
        <w:color w:val="FF0000"/>
      </w:rPr>
      <w:t xml:space="preserve"> will be automatically processed – if you alter </w:t>
    </w:r>
    <w:r>
      <w:rPr>
        <w:color w:val="FF0000"/>
      </w:rPr>
      <w:t xml:space="preserve">its structure </w:t>
    </w:r>
    <w:r w:rsidRPr="00633DCF">
      <w:rPr>
        <w:color w:val="FF0000"/>
      </w:rPr>
      <w:t xml:space="preserve">your </w:t>
    </w:r>
    <w:r>
      <w:rPr>
        <w:color w:val="FF0000"/>
      </w:rPr>
      <w:t>submission</w:t>
    </w:r>
    <w:r w:rsidRPr="00633DCF">
      <w:rPr>
        <w:color w:val="FF0000"/>
      </w:rPr>
      <w:t xml:space="preserve"> </w:t>
    </w:r>
    <w:r>
      <w:rPr>
        <w:color w:val="FF0000"/>
      </w:rPr>
      <w:t>will</w:t>
    </w:r>
    <w:r w:rsidRPr="00633DCF">
      <w:rPr>
        <w:color w:val="FF0000"/>
      </w:rPr>
      <w:t xml:space="preserve"> not be processed correctly.</w:t>
    </w:r>
  </w:p>
  <w:p w:rsidR="00727489" w:rsidRDefault="00727489" w:rsidP="00727489">
    <w:pPr>
      <w:rPr>
        <w:color w:val="FF0000"/>
      </w:rPr>
    </w:pPr>
  </w:p>
  <w:p w:rsidR="00727489" w:rsidRPr="00633DCF" w:rsidRDefault="00727489" w:rsidP="00727489">
    <w:pPr>
      <w:rPr>
        <w:color w:val="FF0000"/>
      </w:rPr>
    </w:pPr>
    <w:r>
      <w:rPr>
        <w:color w:val="FF0000"/>
      </w:rPr>
      <w:t>Do not include keywords – you can add them when you submit the abstract online.</w:t>
    </w:r>
  </w:p>
  <w:p w:rsidR="00727489" w:rsidRDefault="007274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9" w:rsidRDefault="00727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18"/>
    <w:rsid w:val="0002343A"/>
    <w:rsid w:val="00094E84"/>
    <w:rsid w:val="000D6086"/>
    <w:rsid w:val="00144E12"/>
    <w:rsid w:val="00153674"/>
    <w:rsid w:val="001E759C"/>
    <w:rsid w:val="001E7B9E"/>
    <w:rsid w:val="002650AC"/>
    <w:rsid w:val="0028306B"/>
    <w:rsid w:val="002B035D"/>
    <w:rsid w:val="00323E24"/>
    <w:rsid w:val="0033117D"/>
    <w:rsid w:val="003C0B68"/>
    <w:rsid w:val="003C3B42"/>
    <w:rsid w:val="005159BB"/>
    <w:rsid w:val="005A725F"/>
    <w:rsid w:val="006754EE"/>
    <w:rsid w:val="00696C29"/>
    <w:rsid w:val="007246A8"/>
    <w:rsid w:val="00727489"/>
    <w:rsid w:val="007D7807"/>
    <w:rsid w:val="00811D20"/>
    <w:rsid w:val="00877AC6"/>
    <w:rsid w:val="00891DF3"/>
    <w:rsid w:val="0089554B"/>
    <w:rsid w:val="0094050F"/>
    <w:rsid w:val="009A16A2"/>
    <w:rsid w:val="009F5330"/>
    <w:rsid w:val="00A63718"/>
    <w:rsid w:val="00A67C8D"/>
    <w:rsid w:val="00AB7164"/>
    <w:rsid w:val="00B231B6"/>
    <w:rsid w:val="00B2516C"/>
    <w:rsid w:val="00B357E0"/>
    <w:rsid w:val="00B6394E"/>
    <w:rsid w:val="00B8477F"/>
    <w:rsid w:val="00BE2129"/>
    <w:rsid w:val="00BF2B38"/>
    <w:rsid w:val="00BF2D2B"/>
    <w:rsid w:val="00BF64F8"/>
    <w:rsid w:val="00C16C1B"/>
    <w:rsid w:val="00C4161A"/>
    <w:rsid w:val="00CB0249"/>
    <w:rsid w:val="00CC3FCA"/>
    <w:rsid w:val="00D015AE"/>
    <w:rsid w:val="00DC3813"/>
    <w:rsid w:val="00E86158"/>
    <w:rsid w:val="00F733FC"/>
    <w:rsid w:val="00FA167B"/>
    <w:rsid w:val="00FE75A4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E12"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57E0"/>
  </w:style>
  <w:style w:type="paragraph" w:styleId="BodyText2">
    <w:name w:val="Body Text 2"/>
    <w:basedOn w:val="Normal"/>
    <w:rsid w:val="00B357E0"/>
  </w:style>
  <w:style w:type="paragraph" w:styleId="Header">
    <w:name w:val="header"/>
    <w:basedOn w:val="Normal"/>
    <w:rsid w:val="007274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48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E861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15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8615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6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158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E12"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57E0"/>
  </w:style>
  <w:style w:type="paragraph" w:styleId="BodyText2">
    <w:name w:val="Body Text 2"/>
    <w:basedOn w:val="Normal"/>
    <w:rsid w:val="00B357E0"/>
  </w:style>
  <w:style w:type="paragraph" w:styleId="Header">
    <w:name w:val="header"/>
    <w:basedOn w:val="Normal"/>
    <w:rsid w:val="007274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48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E861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15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8615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6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15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Nofima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Kim Wilson</dc:creator>
  <cp:lastModifiedBy>Paula A. Varela Tomasco</cp:lastModifiedBy>
  <cp:revision>4</cp:revision>
  <cp:lastPrinted>2003-06-19T16:02:00Z</cp:lastPrinted>
  <dcterms:created xsi:type="dcterms:W3CDTF">2014-03-28T14:12:00Z</dcterms:created>
  <dcterms:modified xsi:type="dcterms:W3CDTF">2014-04-02T08:14:00Z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